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s="黑体"/>
          <w:b/>
          <w:color w:val="000000" w:themeColor="text1"/>
          <w:kern w:val="0"/>
          <w:sz w:val="30"/>
          <w:szCs w:val="30"/>
          <w14:textFill>
            <w14:solidFill>
              <w14:schemeClr w14:val="tx1"/>
            </w14:solidFill>
          </w14:textFill>
        </w:rPr>
      </w:pPr>
      <w:r>
        <w:rPr>
          <w:rFonts w:hint="eastAsia" w:ascii="黑体" w:hAnsi="黑体" w:eastAsia="黑体" w:cs="黑体"/>
          <w:b/>
          <w:color w:val="000000" w:themeColor="text1"/>
          <w:kern w:val="0"/>
          <w:sz w:val="30"/>
          <w:szCs w:val="30"/>
          <w14:textFill>
            <w14:solidFill>
              <w14:schemeClr w14:val="tx1"/>
            </w14:solidFill>
          </w14:textFill>
        </w:rPr>
        <w:t>江苏海晨物流股份有限公司</w:t>
      </w:r>
    </w:p>
    <w:p>
      <w:pPr>
        <w:adjustRightInd w:val="0"/>
        <w:snapToGrid w:val="0"/>
        <w:spacing w:line="360" w:lineRule="auto"/>
        <w:jc w:val="center"/>
        <w:rPr>
          <w:b/>
          <w:sz w:val="30"/>
          <w:szCs w:val="30"/>
        </w:rPr>
      </w:pPr>
      <w:r>
        <w:rPr>
          <w:rFonts w:hint="eastAsia" w:ascii="黑体" w:hAnsi="黑体" w:eastAsia="黑体" w:cs="黑体"/>
          <w:b/>
          <w:color w:val="000000" w:themeColor="text1"/>
          <w:kern w:val="0"/>
          <w:sz w:val="30"/>
          <w:szCs w:val="30"/>
          <w14:textFill>
            <w14:solidFill>
              <w14:schemeClr w14:val="tx1"/>
            </w14:solidFill>
          </w14:textFill>
        </w:rPr>
        <w:t>202</w:t>
      </w:r>
      <w:r>
        <w:rPr>
          <w:rFonts w:hint="eastAsia" w:ascii="黑体" w:hAnsi="黑体" w:eastAsia="黑体" w:cs="黑体"/>
          <w:b/>
          <w:color w:val="000000" w:themeColor="text1"/>
          <w:kern w:val="0"/>
          <w:sz w:val="30"/>
          <w:szCs w:val="30"/>
          <w:lang w:val="en-US" w:eastAsia="zh-CN"/>
          <w14:textFill>
            <w14:solidFill>
              <w14:schemeClr w14:val="tx1"/>
            </w14:solidFill>
          </w14:textFill>
        </w:rPr>
        <w:t>2</w:t>
      </w:r>
      <w:r>
        <w:rPr>
          <w:rFonts w:hint="eastAsia" w:ascii="黑体" w:hAnsi="黑体" w:eastAsia="黑体" w:cs="黑体"/>
          <w:b/>
          <w:color w:val="000000" w:themeColor="text1"/>
          <w:kern w:val="0"/>
          <w:sz w:val="30"/>
          <w:szCs w:val="30"/>
          <w14:textFill>
            <w14:solidFill>
              <w14:schemeClr w14:val="tx1"/>
            </w14:solidFill>
          </w14:textFill>
        </w:rPr>
        <w:t>年度公司内部控制自我评价报告</w:t>
      </w:r>
    </w:p>
    <w:p>
      <w:pPr>
        <w:autoSpaceDE w:val="0"/>
        <w:autoSpaceDN w:val="0"/>
        <w:adjustRightInd w:val="0"/>
        <w:spacing w:line="360" w:lineRule="auto"/>
        <w:ind w:firstLine="480" w:firstLineChars="200"/>
        <w:rPr>
          <w:kern w:val="0"/>
          <w:sz w:val="24"/>
        </w:rPr>
      </w:pPr>
      <w:r>
        <w:rPr>
          <w:kern w:val="0"/>
          <w:sz w:val="24"/>
        </w:rPr>
        <w:t>根据《企业内部控制基本规范》及其配套指引的规定和其他内部控制监管要求（以下简称“企业内部控制规范体系”），结合</w:t>
      </w:r>
      <w:r>
        <w:rPr>
          <w:rFonts w:hint="eastAsia"/>
          <w:kern w:val="0"/>
          <w:sz w:val="24"/>
        </w:rPr>
        <w:t>江苏海晨物流股份有限公司</w:t>
      </w:r>
      <w:r>
        <w:rPr>
          <w:kern w:val="0"/>
          <w:sz w:val="24"/>
        </w:rPr>
        <w:t>（以下简称</w:t>
      </w:r>
      <w:r>
        <w:rPr>
          <w:rFonts w:hint="eastAsia"/>
          <w:kern w:val="0"/>
          <w:sz w:val="24"/>
        </w:rPr>
        <w:t>“公司”</w:t>
      </w:r>
      <w:r>
        <w:rPr>
          <w:kern w:val="0"/>
          <w:sz w:val="24"/>
        </w:rPr>
        <w:t>）内部控制制度和评价方法，在内部控制日常监督和专项监督的基础上，我们对公司截至202</w:t>
      </w:r>
      <w:r>
        <w:rPr>
          <w:rFonts w:hint="eastAsia"/>
          <w:kern w:val="0"/>
          <w:sz w:val="24"/>
          <w:lang w:val="en-US" w:eastAsia="zh-CN"/>
        </w:rPr>
        <w:t>2</w:t>
      </w:r>
      <w:r>
        <w:rPr>
          <w:kern w:val="0"/>
          <w:sz w:val="24"/>
        </w:rPr>
        <w:t>年12月31日（内部控制评价报告基准日）的内部控制有效进行了评价。</w:t>
      </w:r>
    </w:p>
    <w:p>
      <w:pPr>
        <w:autoSpaceDE w:val="0"/>
        <w:autoSpaceDN w:val="0"/>
        <w:adjustRightInd w:val="0"/>
        <w:spacing w:line="360" w:lineRule="auto"/>
        <w:ind w:firstLine="482" w:firstLineChars="200"/>
        <w:rPr>
          <w:b/>
          <w:kern w:val="0"/>
          <w:sz w:val="24"/>
        </w:rPr>
      </w:pPr>
      <w:r>
        <w:rPr>
          <w:b/>
          <w:kern w:val="0"/>
          <w:sz w:val="24"/>
        </w:rPr>
        <w:t>一、董事会声明</w:t>
      </w:r>
    </w:p>
    <w:p>
      <w:pPr>
        <w:autoSpaceDE w:val="0"/>
        <w:autoSpaceDN w:val="0"/>
        <w:adjustRightInd w:val="0"/>
        <w:spacing w:line="360" w:lineRule="auto"/>
        <w:ind w:firstLine="480" w:firstLineChars="200"/>
        <w:rPr>
          <w:kern w:val="0"/>
          <w:sz w:val="24"/>
        </w:rPr>
      </w:pPr>
      <w:r>
        <w:rPr>
          <w:kern w:val="0"/>
          <w:sz w:val="24"/>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连带法律责任。</w:t>
      </w:r>
    </w:p>
    <w:p>
      <w:pPr>
        <w:autoSpaceDE w:val="0"/>
        <w:autoSpaceDN w:val="0"/>
        <w:adjustRightInd w:val="0"/>
        <w:spacing w:line="360" w:lineRule="auto"/>
        <w:ind w:firstLine="480" w:firstLineChars="200"/>
        <w:rPr>
          <w:kern w:val="0"/>
          <w:sz w:val="24"/>
        </w:rPr>
      </w:pPr>
      <w:r>
        <w:rPr>
          <w:kern w:val="0"/>
          <w:sz w:val="24"/>
        </w:rPr>
        <w:t>公司内部控制的目标是合理保证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风险。</w:t>
      </w:r>
    </w:p>
    <w:p>
      <w:pPr>
        <w:autoSpaceDE w:val="0"/>
        <w:autoSpaceDN w:val="0"/>
        <w:adjustRightInd w:val="0"/>
        <w:spacing w:line="360" w:lineRule="auto"/>
        <w:ind w:firstLine="482" w:firstLineChars="200"/>
        <w:rPr>
          <w:b/>
          <w:kern w:val="0"/>
          <w:sz w:val="24"/>
        </w:rPr>
      </w:pPr>
      <w:r>
        <w:rPr>
          <w:b/>
          <w:kern w:val="0"/>
          <w:sz w:val="24"/>
        </w:rPr>
        <w:t>二、内部控制评价结论</w:t>
      </w:r>
    </w:p>
    <w:p>
      <w:pPr>
        <w:autoSpaceDE w:val="0"/>
        <w:autoSpaceDN w:val="0"/>
        <w:adjustRightInd w:val="0"/>
        <w:spacing w:line="360" w:lineRule="auto"/>
        <w:ind w:firstLine="480" w:firstLineChars="200"/>
        <w:rPr>
          <w:kern w:val="0"/>
          <w:sz w:val="24"/>
        </w:rPr>
      </w:pPr>
      <w:r>
        <w:rPr>
          <w:kern w:val="0"/>
          <w:sz w:val="24"/>
        </w:rPr>
        <w:t>根据公司财务报告内部控制缺陷的认定标准，</w:t>
      </w:r>
      <w:r>
        <w:rPr>
          <w:rFonts w:hint="eastAsia"/>
          <w:kern w:val="0"/>
          <w:sz w:val="24"/>
        </w:rPr>
        <w:t>于</w:t>
      </w:r>
      <w:r>
        <w:rPr>
          <w:kern w:val="0"/>
          <w:sz w:val="24"/>
        </w:rPr>
        <w:t>内部控制评价报告基准日，不存在财务报告内部控制重大缺陷和重要缺陷，董事会认为，公司已按照企业内部控制规范体系和相关规定的要求在所有重大方面保持了有效的财务报告内部控制。</w:t>
      </w:r>
    </w:p>
    <w:p>
      <w:pPr>
        <w:autoSpaceDE w:val="0"/>
        <w:autoSpaceDN w:val="0"/>
        <w:adjustRightInd w:val="0"/>
        <w:spacing w:line="360" w:lineRule="auto"/>
        <w:ind w:firstLine="480" w:firstLineChars="200"/>
        <w:rPr>
          <w:kern w:val="0"/>
          <w:sz w:val="24"/>
        </w:rPr>
      </w:pPr>
      <w:r>
        <w:rPr>
          <w:kern w:val="0"/>
          <w:sz w:val="24"/>
        </w:rPr>
        <w:t>根据公司非财务报告内部控制缺陷认定标准，于内部控制评价报告基准日，公司未发现非财务报告内部控制重大缺陷和重要缺陷。</w:t>
      </w:r>
    </w:p>
    <w:p>
      <w:pPr>
        <w:autoSpaceDE w:val="0"/>
        <w:autoSpaceDN w:val="0"/>
        <w:adjustRightInd w:val="0"/>
        <w:spacing w:line="360" w:lineRule="auto"/>
        <w:ind w:firstLine="480" w:firstLineChars="200"/>
        <w:rPr>
          <w:kern w:val="0"/>
          <w:sz w:val="24"/>
        </w:rPr>
      </w:pPr>
      <w:r>
        <w:rPr>
          <w:kern w:val="0"/>
          <w:sz w:val="24"/>
        </w:rPr>
        <w:t>自公司内部控制评价报告基准日至内部控制评价报告发出日之间未发生影响内部控制有效性评价结论的因素。</w:t>
      </w:r>
    </w:p>
    <w:p>
      <w:pPr>
        <w:autoSpaceDE w:val="0"/>
        <w:autoSpaceDN w:val="0"/>
        <w:adjustRightInd w:val="0"/>
        <w:spacing w:line="360" w:lineRule="auto"/>
        <w:ind w:firstLine="482" w:firstLineChars="200"/>
        <w:rPr>
          <w:b/>
          <w:kern w:val="0"/>
          <w:sz w:val="24"/>
        </w:rPr>
      </w:pPr>
      <w:r>
        <w:rPr>
          <w:b/>
          <w:kern w:val="0"/>
          <w:sz w:val="24"/>
        </w:rPr>
        <w:t>三、内部控制评价工作情况</w:t>
      </w:r>
    </w:p>
    <w:p>
      <w:pPr>
        <w:autoSpaceDE w:val="0"/>
        <w:autoSpaceDN w:val="0"/>
        <w:adjustRightInd w:val="0"/>
        <w:spacing w:line="360" w:lineRule="auto"/>
        <w:ind w:firstLine="482" w:firstLineChars="200"/>
        <w:rPr>
          <w:b/>
          <w:bCs/>
          <w:kern w:val="0"/>
          <w:sz w:val="24"/>
        </w:rPr>
      </w:pPr>
      <w:r>
        <w:rPr>
          <w:rFonts w:hint="eastAsia"/>
          <w:b/>
          <w:bCs/>
          <w:kern w:val="0"/>
          <w:sz w:val="24"/>
        </w:rPr>
        <w:t>（一）内部控制评价范围</w:t>
      </w:r>
    </w:p>
    <w:p>
      <w:pPr>
        <w:autoSpaceDE w:val="0"/>
        <w:autoSpaceDN w:val="0"/>
        <w:adjustRightInd w:val="0"/>
        <w:spacing w:line="360" w:lineRule="auto"/>
        <w:ind w:firstLine="480" w:firstLineChars="200"/>
        <w:rPr>
          <w:kern w:val="0"/>
          <w:sz w:val="24"/>
        </w:rPr>
      </w:pPr>
      <w:r>
        <w:rPr>
          <w:kern w:val="0"/>
          <w:sz w:val="24"/>
        </w:rPr>
        <w:t>公司按照风险导向原则确定纳入评价范围的主要单位、业务和事项以及高风险领域。纳入评价范围的主要单位是公司及主要子公司，包括各事业部和职能部门，纳入评价范围单位资产总额占公司合并财务报表资产总额的100%，营业收入合计占公司合并财务报表营业收入总额的100%。纳入评价范围的主要业务和事项包括：组织架构、人力资源、采购供应管理、销售管理、质量管理、对外投资管理、合同管理、信息披露、财务管理、全面预算管理、信息系统管理、内部审计、分子公司管理等；重点关注的高风险领域组要包括：投资风险、政策风险、市场竞争风险、价格变动风险、营销风险、财务风险、法律风险等。</w:t>
      </w:r>
    </w:p>
    <w:p>
      <w:pPr>
        <w:autoSpaceDE w:val="0"/>
        <w:autoSpaceDN w:val="0"/>
        <w:adjustRightInd w:val="0"/>
        <w:spacing w:line="360" w:lineRule="auto"/>
        <w:ind w:firstLine="480" w:firstLineChars="200"/>
        <w:rPr>
          <w:kern w:val="0"/>
          <w:sz w:val="24"/>
        </w:rPr>
      </w:pPr>
      <w:r>
        <w:rPr>
          <w:kern w:val="0"/>
          <w:sz w:val="24"/>
        </w:rPr>
        <w:t>以上纳入评价范围的单位、业务和事项以及高风险领域涵盖了公司经营管理的主要方面，不存在重大遗漏。</w:t>
      </w:r>
    </w:p>
    <w:p>
      <w:pPr>
        <w:autoSpaceDE w:val="0"/>
        <w:autoSpaceDN w:val="0"/>
        <w:adjustRightInd w:val="0"/>
        <w:spacing w:line="360" w:lineRule="auto"/>
        <w:ind w:firstLine="480" w:firstLineChars="200"/>
        <w:rPr>
          <w:kern w:val="0"/>
          <w:sz w:val="24"/>
        </w:rPr>
      </w:pPr>
      <w:r>
        <w:rPr>
          <w:kern w:val="0"/>
          <w:sz w:val="24"/>
        </w:rPr>
        <w:t>1、组织架构</w:t>
      </w:r>
    </w:p>
    <w:p>
      <w:pPr>
        <w:autoSpaceDE w:val="0"/>
        <w:autoSpaceDN w:val="0"/>
        <w:adjustRightInd w:val="0"/>
        <w:spacing w:line="360" w:lineRule="auto"/>
        <w:ind w:firstLine="480" w:firstLineChars="200"/>
        <w:rPr>
          <w:kern w:val="0"/>
          <w:sz w:val="24"/>
        </w:rPr>
      </w:pPr>
      <w:r>
        <w:rPr>
          <w:kern w:val="0"/>
          <w:sz w:val="24"/>
        </w:rPr>
        <w:t>公司按照《公司法》、《证券法》、《上市公司章程指引》及中国证监会有关法规的要求，建立健全公司治理结构和议事规则，明确了决策、执行、监督等方面的职责权限，形成了科学有效的职责分工和制衡机制。建立了股东大会、董事会、监事会等“三会”议事制度，公司法人治理结构健全，符合《上市公司治理准则》的要求。</w:t>
      </w:r>
    </w:p>
    <w:p>
      <w:pPr>
        <w:autoSpaceDE w:val="0"/>
        <w:autoSpaceDN w:val="0"/>
        <w:adjustRightInd w:val="0"/>
        <w:spacing w:line="360" w:lineRule="auto"/>
        <w:ind w:firstLine="480" w:firstLineChars="200"/>
        <w:rPr>
          <w:kern w:val="0"/>
          <w:sz w:val="24"/>
        </w:rPr>
      </w:pPr>
      <w:r>
        <w:rPr>
          <w:kern w:val="0"/>
          <w:sz w:val="24"/>
        </w:rPr>
        <w:t>（1）股东大会</w:t>
      </w:r>
    </w:p>
    <w:p>
      <w:pPr>
        <w:autoSpaceDE w:val="0"/>
        <w:autoSpaceDN w:val="0"/>
        <w:adjustRightInd w:val="0"/>
        <w:spacing w:line="360" w:lineRule="auto"/>
        <w:ind w:firstLine="480" w:firstLineChars="200"/>
        <w:rPr>
          <w:kern w:val="0"/>
          <w:sz w:val="24"/>
        </w:rPr>
      </w:pPr>
      <w:r>
        <w:rPr>
          <w:kern w:val="0"/>
          <w:sz w:val="24"/>
        </w:rPr>
        <w:t>按照《公司章程》的要求，公司股东大会的权力和义务符合《公司法》的规定，能够确保所有股东，特别是中小股东享有平等地位，确保所有股东能够充分行使自己的权利。</w:t>
      </w:r>
    </w:p>
    <w:p>
      <w:pPr>
        <w:autoSpaceDE w:val="0"/>
        <w:autoSpaceDN w:val="0"/>
        <w:adjustRightInd w:val="0"/>
        <w:spacing w:line="360" w:lineRule="auto"/>
        <w:ind w:firstLine="480" w:firstLineChars="200"/>
        <w:rPr>
          <w:kern w:val="0"/>
          <w:sz w:val="24"/>
        </w:rPr>
      </w:pPr>
      <w:r>
        <w:rPr>
          <w:kern w:val="0"/>
          <w:sz w:val="24"/>
        </w:rPr>
        <w:t>（2）董事会</w:t>
      </w:r>
    </w:p>
    <w:p>
      <w:pPr>
        <w:autoSpaceDE w:val="0"/>
        <w:autoSpaceDN w:val="0"/>
        <w:adjustRightInd w:val="0"/>
        <w:spacing w:line="360" w:lineRule="auto"/>
        <w:ind w:firstLine="480" w:firstLineChars="200"/>
        <w:rPr>
          <w:kern w:val="0"/>
          <w:sz w:val="24"/>
        </w:rPr>
      </w:pPr>
      <w:r>
        <w:rPr>
          <w:kern w:val="0"/>
          <w:sz w:val="24"/>
        </w:rPr>
        <w:t>董事会是公司的决策机构，对公司内部控制体系的建立和监督负责，建立和完善内部控制的政策和方案，监督内部控制的执行。董事会下设董事会办公室负责处理董事会日常事务。公司股东大会授权董事会全面负责公司的经营和管理，是公司的经营决策中心。</w:t>
      </w:r>
    </w:p>
    <w:p>
      <w:pPr>
        <w:autoSpaceDE w:val="0"/>
        <w:autoSpaceDN w:val="0"/>
        <w:adjustRightInd w:val="0"/>
        <w:spacing w:line="360" w:lineRule="auto"/>
        <w:ind w:firstLine="480" w:firstLineChars="200"/>
        <w:rPr>
          <w:kern w:val="0"/>
          <w:sz w:val="24"/>
        </w:rPr>
      </w:pPr>
      <w:r>
        <w:rPr>
          <w:kern w:val="0"/>
          <w:sz w:val="24"/>
        </w:rPr>
        <w:t>（3）监事会</w:t>
      </w:r>
    </w:p>
    <w:p>
      <w:pPr>
        <w:autoSpaceDE w:val="0"/>
        <w:autoSpaceDN w:val="0"/>
        <w:adjustRightInd w:val="0"/>
        <w:spacing w:line="360" w:lineRule="auto"/>
        <w:ind w:firstLine="480" w:firstLineChars="200"/>
        <w:rPr>
          <w:kern w:val="0"/>
          <w:sz w:val="24"/>
        </w:rPr>
      </w:pPr>
      <w:r>
        <w:rPr>
          <w:kern w:val="0"/>
          <w:sz w:val="24"/>
        </w:rPr>
        <w:t>监事会是公司的监督机构，对董事会及其成员、高管人员的行为及各子公司的财务状况进行监督及检查，监事会由股东大会授权，负责保障股东权益、公司利益、员工合法权益不受侵犯。监事会向股东大会负责并报告工作。</w:t>
      </w:r>
    </w:p>
    <w:p>
      <w:pPr>
        <w:autoSpaceDE w:val="0"/>
        <w:autoSpaceDN w:val="0"/>
        <w:adjustRightInd w:val="0"/>
        <w:spacing w:line="360" w:lineRule="auto"/>
        <w:ind w:firstLine="480" w:firstLineChars="200"/>
        <w:rPr>
          <w:kern w:val="0"/>
          <w:sz w:val="24"/>
        </w:rPr>
      </w:pPr>
      <w:r>
        <w:rPr>
          <w:kern w:val="0"/>
          <w:sz w:val="24"/>
        </w:rPr>
        <w:t>（4）董事会下属机构</w:t>
      </w:r>
    </w:p>
    <w:p>
      <w:pPr>
        <w:autoSpaceDE w:val="0"/>
        <w:autoSpaceDN w:val="0"/>
        <w:adjustRightInd w:val="0"/>
        <w:spacing w:line="360" w:lineRule="auto"/>
        <w:ind w:firstLine="480" w:firstLineChars="200"/>
        <w:rPr>
          <w:kern w:val="0"/>
          <w:sz w:val="24"/>
        </w:rPr>
      </w:pPr>
      <w:r>
        <w:rPr>
          <w:kern w:val="0"/>
          <w:sz w:val="24"/>
        </w:rPr>
        <w:t>为进一步完善公司法人治理结构，在董事会下设</w:t>
      </w:r>
      <w:r>
        <w:rPr>
          <w:rFonts w:hint="eastAsia"/>
          <w:kern w:val="0"/>
          <w:sz w:val="24"/>
        </w:rPr>
        <w:t>战略与发展</w:t>
      </w:r>
      <w:r>
        <w:rPr>
          <w:kern w:val="0"/>
          <w:sz w:val="24"/>
        </w:rPr>
        <w:t>委员会、提名委员会、薪酬与考核委员会、审计委员会四个专门委员会。</w:t>
      </w:r>
      <w:r>
        <w:rPr>
          <w:rFonts w:hint="eastAsia"/>
          <w:kern w:val="0"/>
          <w:sz w:val="24"/>
        </w:rPr>
        <w:t>战略与发展</w:t>
      </w:r>
      <w:r>
        <w:rPr>
          <w:kern w:val="0"/>
          <w:sz w:val="24"/>
        </w:rPr>
        <w:t>委员会主要负责对公司长期发展战略和重大投资决策进行研究并提出建议。提名委员会主要负责对《公司章程》所规定的具有提名权的提名人所提名的董事和高级管理人员的任职资格进行审核，向董事会报告，对董事会负责。薪酬与考核委员会主要负责制定公司董事及高管人员的考核标准并进行考核；负责制定、审查公司董事及高管人员的薪酬政策与方案，对董事会负责。审计委员会主要负责公司内、外审计的沟通、监督和核查工作。</w:t>
      </w:r>
    </w:p>
    <w:p>
      <w:pPr>
        <w:autoSpaceDE w:val="0"/>
        <w:autoSpaceDN w:val="0"/>
        <w:adjustRightInd w:val="0"/>
        <w:spacing w:line="360" w:lineRule="auto"/>
        <w:ind w:firstLine="480" w:firstLineChars="200"/>
        <w:rPr>
          <w:kern w:val="0"/>
          <w:sz w:val="24"/>
        </w:rPr>
      </w:pPr>
      <w:r>
        <w:rPr>
          <w:kern w:val="0"/>
          <w:sz w:val="24"/>
        </w:rPr>
        <w:t>2、人力资源</w:t>
      </w:r>
    </w:p>
    <w:p>
      <w:pPr>
        <w:autoSpaceDE w:val="0"/>
        <w:autoSpaceDN w:val="0"/>
        <w:adjustRightInd w:val="0"/>
        <w:spacing w:line="360" w:lineRule="auto"/>
        <w:ind w:firstLine="480" w:firstLineChars="200"/>
        <w:rPr>
          <w:kern w:val="0"/>
          <w:sz w:val="24"/>
        </w:rPr>
      </w:pPr>
      <w:r>
        <w:rPr>
          <w:kern w:val="0"/>
          <w:sz w:val="24"/>
        </w:rPr>
        <w:t>公司建立了完善的人力资源制度体系，制定了《人力资源管理制度汇编》，包含组织结构、人才招募、劳动关系管理、培训管理、薪酬管理、绩效管理、考勤管理等一系列管理制度，为公司建立高素质的人员团队提供健全的制度保障。公司实行全员劳动合同制，与公司全体员工订立劳动合同，并依法为员工提供各项劳动和社会保障措施，保证了公司全体员工的合法权益。</w:t>
      </w:r>
    </w:p>
    <w:p>
      <w:pPr>
        <w:autoSpaceDE w:val="0"/>
        <w:autoSpaceDN w:val="0"/>
        <w:adjustRightInd w:val="0"/>
        <w:spacing w:line="360" w:lineRule="auto"/>
        <w:ind w:firstLine="480" w:firstLineChars="200"/>
        <w:rPr>
          <w:kern w:val="0"/>
          <w:sz w:val="24"/>
        </w:rPr>
      </w:pPr>
      <w:r>
        <w:rPr>
          <w:kern w:val="0"/>
          <w:sz w:val="24"/>
        </w:rPr>
        <w:t>3、企业文化</w:t>
      </w:r>
    </w:p>
    <w:p>
      <w:pPr>
        <w:autoSpaceDE w:val="0"/>
        <w:autoSpaceDN w:val="0"/>
        <w:adjustRightInd w:val="0"/>
        <w:spacing w:line="360" w:lineRule="auto"/>
        <w:ind w:firstLine="480" w:firstLineChars="200"/>
        <w:rPr>
          <w:kern w:val="0"/>
          <w:sz w:val="24"/>
        </w:rPr>
      </w:pPr>
      <w:r>
        <w:rPr>
          <w:kern w:val="0"/>
          <w:sz w:val="24"/>
        </w:rPr>
        <w:t>公司秉承</w:t>
      </w:r>
      <w:r>
        <w:rPr>
          <w:sz w:val="24"/>
        </w:rPr>
        <w:t>“科技引领、实业物流”</w:t>
      </w:r>
      <w:r>
        <w:rPr>
          <w:kern w:val="0"/>
          <w:sz w:val="24"/>
        </w:rPr>
        <w:t>的理念，</w:t>
      </w:r>
      <w:r>
        <w:rPr>
          <w:sz w:val="24"/>
        </w:rPr>
        <w:t>打造生产性实业物流、人才与技术创新、信息系统“三个制高点”，</w:t>
      </w:r>
      <w:r>
        <w:rPr>
          <w:kern w:val="0"/>
          <w:sz w:val="24"/>
        </w:rPr>
        <w:t>坚持</w:t>
      </w:r>
      <w:r>
        <w:rPr>
          <w:rFonts w:hint="eastAsia"/>
          <w:kern w:val="0"/>
          <w:sz w:val="24"/>
        </w:rPr>
        <w:t>以客户满意为己任，以员工幸福为目标，高举高新技术产业发展的旗帜，致力打造移动云视讯供应链服务平台，成为全球领先的供应链解决方案的提供者，为智造强国贡献力量。</w:t>
      </w:r>
    </w:p>
    <w:p>
      <w:pPr>
        <w:autoSpaceDE w:val="0"/>
        <w:autoSpaceDN w:val="0"/>
        <w:adjustRightInd w:val="0"/>
        <w:spacing w:line="360" w:lineRule="auto"/>
        <w:ind w:firstLine="480" w:firstLineChars="200"/>
        <w:rPr>
          <w:kern w:val="0"/>
          <w:sz w:val="24"/>
        </w:rPr>
      </w:pPr>
      <w:r>
        <w:rPr>
          <w:kern w:val="0"/>
          <w:sz w:val="24"/>
        </w:rPr>
        <w:t>4、资金活动</w:t>
      </w:r>
    </w:p>
    <w:p>
      <w:pPr>
        <w:autoSpaceDE w:val="0"/>
        <w:autoSpaceDN w:val="0"/>
        <w:adjustRightInd w:val="0"/>
        <w:spacing w:line="360" w:lineRule="auto"/>
        <w:ind w:firstLine="480" w:firstLineChars="200"/>
        <w:rPr>
          <w:kern w:val="0"/>
          <w:sz w:val="24"/>
        </w:rPr>
      </w:pPr>
      <w:r>
        <w:rPr>
          <w:kern w:val="0"/>
          <w:sz w:val="24"/>
        </w:rPr>
        <w:t>在资金管理活动方面，公司建立了完整的资金管理制度，包括《预算管理办法》、《货币资金管理制度》、《应收账款管理办法》</w:t>
      </w:r>
      <w:r>
        <w:rPr>
          <w:rFonts w:hint="eastAsia"/>
          <w:kern w:val="0"/>
          <w:sz w:val="24"/>
        </w:rPr>
        <w:t>、《代收代付款项管理制度》、《募集资金管理制度》</w:t>
      </w:r>
      <w:r>
        <w:rPr>
          <w:kern w:val="0"/>
          <w:sz w:val="24"/>
        </w:rPr>
        <w:t>等专项制度，用以规范对货币资金收支、资金预算、应收账款管理</w:t>
      </w:r>
      <w:r>
        <w:rPr>
          <w:rFonts w:hint="eastAsia"/>
          <w:kern w:val="0"/>
          <w:sz w:val="24"/>
        </w:rPr>
        <w:t>、募集资金使用</w:t>
      </w:r>
      <w:r>
        <w:rPr>
          <w:kern w:val="0"/>
          <w:sz w:val="24"/>
        </w:rPr>
        <w:t>等业务的处理，保证公司资金活动安全及效率。</w:t>
      </w:r>
    </w:p>
    <w:p>
      <w:pPr>
        <w:autoSpaceDE w:val="0"/>
        <w:autoSpaceDN w:val="0"/>
        <w:adjustRightInd w:val="0"/>
        <w:spacing w:line="360" w:lineRule="auto"/>
        <w:ind w:firstLine="480" w:firstLineChars="200"/>
        <w:rPr>
          <w:kern w:val="0"/>
          <w:sz w:val="24"/>
        </w:rPr>
      </w:pPr>
      <w:r>
        <w:rPr>
          <w:kern w:val="0"/>
          <w:sz w:val="24"/>
        </w:rPr>
        <w:t>5、主要业务活动内部控制</w:t>
      </w:r>
    </w:p>
    <w:p>
      <w:pPr>
        <w:autoSpaceDE w:val="0"/>
        <w:autoSpaceDN w:val="0"/>
        <w:adjustRightInd w:val="0"/>
        <w:spacing w:line="360" w:lineRule="auto"/>
        <w:ind w:firstLine="480" w:firstLineChars="200"/>
        <w:rPr>
          <w:kern w:val="0"/>
          <w:sz w:val="24"/>
        </w:rPr>
      </w:pPr>
      <w:r>
        <w:rPr>
          <w:kern w:val="0"/>
          <w:sz w:val="24"/>
        </w:rPr>
        <w:t>1）筹资活动内部控制</w:t>
      </w:r>
    </w:p>
    <w:p>
      <w:pPr>
        <w:autoSpaceDE w:val="0"/>
        <w:autoSpaceDN w:val="0"/>
        <w:adjustRightInd w:val="0"/>
        <w:spacing w:line="360" w:lineRule="auto"/>
        <w:ind w:firstLine="480" w:firstLineChars="200"/>
        <w:rPr>
          <w:kern w:val="0"/>
          <w:sz w:val="24"/>
        </w:rPr>
      </w:pPr>
      <w:r>
        <w:rPr>
          <w:kern w:val="0"/>
          <w:sz w:val="24"/>
        </w:rPr>
        <w:t>公司财务管理中心建立了筹资业务的岗位责任制，明确了相关部门的职责、权限，确保了办理筹资业务的不相容岗位相互分离、制约和监督；规范了筹资授权批准方式、程序，规定了审批人的权限、责任以及经办人的职责范围和工作要求；指定专人对银行借款的本金及利息进行计算，保证了筹资业务偿付环节的内部控制；建立资金台账详细记录了各项借款资金的筹集、运用、本息归还、借款合同担保及抵质押情况，筹资过程得到了有效控制。</w:t>
      </w:r>
    </w:p>
    <w:p>
      <w:pPr>
        <w:autoSpaceDE w:val="0"/>
        <w:autoSpaceDN w:val="0"/>
        <w:adjustRightInd w:val="0"/>
        <w:spacing w:line="360" w:lineRule="auto"/>
        <w:ind w:firstLine="480" w:firstLineChars="200"/>
        <w:rPr>
          <w:kern w:val="0"/>
          <w:sz w:val="24"/>
        </w:rPr>
      </w:pPr>
      <w:r>
        <w:rPr>
          <w:kern w:val="0"/>
          <w:sz w:val="24"/>
        </w:rPr>
        <w:t>2）合同协议内部控制</w:t>
      </w:r>
    </w:p>
    <w:p>
      <w:pPr>
        <w:autoSpaceDE w:val="0"/>
        <w:autoSpaceDN w:val="0"/>
        <w:adjustRightInd w:val="0"/>
        <w:spacing w:line="360" w:lineRule="auto"/>
        <w:ind w:firstLine="480" w:firstLineChars="200"/>
        <w:rPr>
          <w:kern w:val="0"/>
          <w:sz w:val="24"/>
        </w:rPr>
      </w:pPr>
      <w:r>
        <w:rPr>
          <w:kern w:val="0"/>
          <w:sz w:val="24"/>
        </w:rPr>
        <w:t>公司对合同协议依照《合同管理办法》进行管理，明确相关部门和岗位的职责权限；公司设法务人员并聘任法律顾问，各部门设合同管理员，确保合同协议订立的程序、形式、内容等合规；合同协议履行、变更或解除基本得到有效监控；合同协议违约风险得到识别和有效处理；合同协议审批制度已基本执行。</w:t>
      </w:r>
    </w:p>
    <w:p>
      <w:pPr>
        <w:autoSpaceDE w:val="0"/>
        <w:autoSpaceDN w:val="0"/>
        <w:adjustRightInd w:val="0"/>
        <w:spacing w:line="360" w:lineRule="auto"/>
        <w:ind w:firstLine="480" w:firstLineChars="200"/>
        <w:rPr>
          <w:kern w:val="0"/>
          <w:sz w:val="24"/>
        </w:rPr>
      </w:pPr>
      <w:r>
        <w:rPr>
          <w:kern w:val="0"/>
          <w:sz w:val="24"/>
        </w:rPr>
        <w:t>3）销售、收款内部控制</w:t>
      </w:r>
    </w:p>
    <w:p>
      <w:pPr>
        <w:autoSpaceDE w:val="0"/>
        <w:autoSpaceDN w:val="0"/>
        <w:adjustRightInd w:val="0"/>
        <w:spacing w:line="360" w:lineRule="auto"/>
        <w:ind w:firstLine="480" w:firstLineChars="200"/>
        <w:rPr>
          <w:kern w:val="0"/>
          <w:sz w:val="24"/>
        </w:rPr>
      </w:pPr>
      <w:r>
        <w:rPr>
          <w:kern w:val="0"/>
          <w:sz w:val="24"/>
        </w:rPr>
        <w:t>公司制定了《应收账款管理办法》、《事业部考核管理办法》、《业务招待费管理办法》、《营业额预决算管理办法》，能做到明确规范与销售有关的职责分工、权限范围和审批程序；销售政策和信用管理较为合理；定期核对应收账款，及时催收；销售的确认、计量和报告符合国家统一的会计准则制度的规定。</w:t>
      </w:r>
    </w:p>
    <w:p>
      <w:pPr>
        <w:autoSpaceDE w:val="0"/>
        <w:autoSpaceDN w:val="0"/>
        <w:adjustRightInd w:val="0"/>
        <w:spacing w:line="360" w:lineRule="auto"/>
        <w:ind w:firstLine="480" w:firstLineChars="200"/>
        <w:rPr>
          <w:kern w:val="0"/>
          <w:sz w:val="24"/>
        </w:rPr>
      </w:pPr>
      <w:r>
        <w:rPr>
          <w:kern w:val="0"/>
          <w:sz w:val="24"/>
        </w:rPr>
        <w:t>4）采购与付款内部控制</w:t>
      </w:r>
    </w:p>
    <w:p>
      <w:pPr>
        <w:autoSpaceDE w:val="0"/>
        <w:autoSpaceDN w:val="0"/>
        <w:adjustRightInd w:val="0"/>
        <w:spacing w:line="360" w:lineRule="auto"/>
        <w:ind w:firstLine="480" w:firstLineChars="200"/>
        <w:rPr>
          <w:kern w:val="0"/>
          <w:sz w:val="24"/>
        </w:rPr>
      </w:pPr>
      <w:r>
        <w:rPr>
          <w:kern w:val="0"/>
          <w:sz w:val="24"/>
        </w:rPr>
        <w:t>公司制定了《公司采购管理制度》，采购业务职责分工、权限范围和审批程序明确，机构设置和人员配备较为合理；采购的确认、计量和报告符合国家统一的会计准则制度的规定。</w:t>
      </w:r>
    </w:p>
    <w:p>
      <w:pPr>
        <w:autoSpaceDE w:val="0"/>
        <w:autoSpaceDN w:val="0"/>
        <w:adjustRightInd w:val="0"/>
        <w:spacing w:line="360" w:lineRule="auto"/>
        <w:ind w:firstLine="480" w:firstLineChars="200"/>
        <w:rPr>
          <w:kern w:val="0"/>
          <w:sz w:val="24"/>
        </w:rPr>
      </w:pPr>
      <w:r>
        <w:rPr>
          <w:kern w:val="0"/>
          <w:sz w:val="24"/>
        </w:rPr>
        <w:t>5）固定资产内部控制</w:t>
      </w:r>
    </w:p>
    <w:p>
      <w:pPr>
        <w:autoSpaceDE w:val="0"/>
        <w:autoSpaceDN w:val="0"/>
        <w:adjustRightInd w:val="0"/>
        <w:spacing w:line="360" w:lineRule="auto"/>
        <w:ind w:firstLine="480" w:firstLineChars="200"/>
        <w:rPr>
          <w:kern w:val="0"/>
          <w:sz w:val="24"/>
        </w:rPr>
      </w:pPr>
      <w:r>
        <w:rPr>
          <w:kern w:val="0"/>
          <w:sz w:val="24"/>
        </w:rPr>
        <w:t>公司制定了《固定资产管理制度》，固定资产控制的关键方面或者关键环节得到了较为有效的控制。购置、处置依据适当，审批流程规范；使用、维护和管理落实责任部门，未给公司造成资产损失；确认、计量和报告符合国家统一的会计准则制度的规定。</w:t>
      </w:r>
    </w:p>
    <w:p>
      <w:pPr>
        <w:autoSpaceDE w:val="0"/>
        <w:autoSpaceDN w:val="0"/>
        <w:adjustRightInd w:val="0"/>
        <w:spacing w:line="360" w:lineRule="auto"/>
        <w:ind w:firstLine="480" w:firstLineChars="200"/>
        <w:rPr>
          <w:kern w:val="0"/>
          <w:sz w:val="24"/>
        </w:rPr>
      </w:pPr>
      <w:r>
        <w:rPr>
          <w:kern w:val="0"/>
          <w:sz w:val="24"/>
        </w:rPr>
        <w:t>6）成本费用内部控制</w:t>
      </w:r>
    </w:p>
    <w:p>
      <w:pPr>
        <w:autoSpaceDE w:val="0"/>
        <w:autoSpaceDN w:val="0"/>
        <w:adjustRightInd w:val="0"/>
        <w:spacing w:line="360" w:lineRule="auto"/>
        <w:ind w:firstLine="480" w:firstLineChars="200"/>
        <w:rPr>
          <w:kern w:val="0"/>
          <w:sz w:val="24"/>
        </w:rPr>
      </w:pPr>
      <w:r>
        <w:rPr>
          <w:rFonts w:hint="eastAsia"/>
          <w:kern w:val="0"/>
          <w:sz w:val="24"/>
        </w:rPr>
        <w:t>公司由财务管理中心的专职人员核算成本费用，制定了《成本费用管理办法》，办理成本费用核算的人员均接受过相关专业教育、具有必要的专业知识。发挥全面预算管理作用，强化对未列入预算和已列入预算但超过开支标准的成本费用项目的支出控制</w:t>
      </w:r>
      <w:r>
        <w:rPr>
          <w:kern w:val="0"/>
          <w:sz w:val="24"/>
        </w:rPr>
        <w:t>。</w:t>
      </w:r>
    </w:p>
    <w:p>
      <w:pPr>
        <w:autoSpaceDE w:val="0"/>
        <w:autoSpaceDN w:val="0"/>
        <w:adjustRightInd w:val="0"/>
        <w:spacing w:line="360" w:lineRule="auto"/>
        <w:ind w:firstLine="480" w:firstLineChars="200"/>
        <w:rPr>
          <w:kern w:val="0"/>
          <w:sz w:val="24"/>
        </w:rPr>
      </w:pPr>
      <w:r>
        <w:rPr>
          <w:kern w:val="0"/>
          <w:sz w:val="24"/>
        </w:rPr>
        <w:t>6、关联交易内部控制</w:t>
      </w:r>
    </w:p>
    <w:p>
      <w:pPr>
        <w:autoSpaceDE w:val="0"/>
        <w:autoSpaceDN w:val="0"/>
        <w:adjustRightInd w:val="0"/>
        <w:spacing w:line="360" w:lineRule="auto"/>
        <w:ind w:firstLine="480" w:firstLineChars="200"/>
        <w:rPr>
          <w:kern w:val="0"/>
          <w:sz w:val="24"/>
        </w:rPr>
      </w:pPr>
      <w:r>
        <w:rPr>
          <w:rFonts w:hint="eastAsia"/>
          <w:kern w:val="0"/>
          <w:sz w:val="24"/>
        </w:rPr>
        <w:t>公司在《公司章程》、《股东大会议事规则》、《董事会议事规则》以及《关联交易控制与决策制度》、《防范大股东及关联方占用公司资金制度》中，对关联审批权限做出了规定，遵循诚实信用、公平、公开、公正，不损害公司及非关联股东合法权益的原则。规范管理交易决策权限、审议程序和回避表决要求、关联交易信息披露等工作流程，保护公司和股东的利益</w:t>
      </w:r>
      <w:r>
        <w:rPr>
          <w:kern w:val="0"/>
          <w:sz w:val="24"/>
        </w:rPr>
        <w:t>。</w:t>
      </w:r>
    </w:p>
    <w:p>
      <w:pPr>
        <w:autoSpaceDE w:val="0"/>
        <w:autoSpaceDN w:val="0"/>
        <w:adjustRightInd w:val="0"/>
        <w:spacing w:line="360" w:lineRule="auto"/>
        <w:ind w:firstLine="480" w:firstLineChars="200"/>
        <w:rPr>
          <w:kern w:val="0"/>
          <w:sz w:val="24"/>
        </w:rPr>
      </w:pPr>
      <w:r>
        <w:rPr>
          <w:kern w:val="0"/>
          <w:sz w:val="24"/>
        </w:rPr>
        <w:t>7、对外担保内部控制</w:t>
      </w:r>
    </w:p>
    <w:p>
      <w:pPr>
        <w:autoSpaceDE w:val="0"/>
        <w:autoSpaceDN w:val="0"/>
        <w:adjustRightInd w:val="0"/>
        <w:spacing w:line="360" w:lineRule="auto"/>
        <w:ind w:firstLine="480" w:firstLineChars="200"/>
        <w:rPr>
          <w:kern w:val="0"/>
          <w:sz w:val="24"/>
        </w:rPr>
      </w:pPr>
      <w:r>
        <w:rPr>
          <w:kern w:val="0"/>
          <w:sz w:val="24"/>
        </w:rPr>
        <w:t>公司在《公司章程》、《股东大会议事规则》、《董事会议事规则》、《对外担保</w:t>
      </w:r>
      <w:r>
        <w:rPr>
          <w:rFonts w:hint="eastAsia"/>
          <w:kern w:val="0"/>
          <w:sz w:val="24"/>
        </w:rPr>
        <w:t>决策</w:t>
      </w:r>
      <w:r>
        <w:rPr>
          <w:kern w:val="0"/>
          <w:sz w:val="24"/>
        </w:rPr>
        <w:t>制度》中明确了对外担保的审批权限和审议程序，对违法审议审批权限和审议程序的行为制定了明确的责任追究条款。</w:t>
      </w:r>
    </w:p>
    <w:p>
      <w:pPr>
        <w:autoSpaceDE w:val="0"/>
        <w:autoSpaceDN w:val="0"/>
        <w:adjustRightInd w:val="0"/>
        <w:spacing w:line="360" w:lineRule="auto"/>
        <w:ind w:firstLine="480" w:firstLineChars="200"/>
        <w:rPr>
          <w:kern w:val="0"/>
          <w:sz w:val="24"/>
        </w:rPr>
      </w:pPr>
      <w:r>
        <w:rPr>
          <w:kern w:val="0"/>
          <w:sz w:val="24"/>
        </w:rPr>
        <w:t>8、对控股子公司的内部控制</w:t>
      </w:r>
    </w:p>
    <w:p>
      <w:pPr>
        <w:autoSpaceDE w:val="0"/>
        <w:autoSpaceDN w:val="0"/>
        <w:adjustRightInd w:val="0"/>
        <w:spacing w:line="360" w:lineRule="auto"/>
        <w:ind w:firstLine="480" w:firstLineChars="200"/>
        <w:rPr>
          <w:kern w:val="0"/>
          <w:sz w:val="24"/>
        </w:rPr>
      </w:pPr>
      <w:r>
        <w:rPr>
          <w:rFonts w:hint="eastAsia"/>
          <w:kern w:val="0"/>
          <w:sz w:val="24"/>
        </w:rPr>
        <w:t>除控股子公司自身内控制度之外，公司专门对控股子公司建立了《子公司管理制度》，以加强对控股子公司的控制和管理。通过推选董事、股东代表监事及高级管理人员，来参与子公司的财务管理、经营决策管理、信息管理等。保证控股子公司依法运营和规范运作。</w:t>
      </w:r>
    </w:p>
    <w:p>
      <w:pPr>
        <w:autoSpaceDE w:val="0"/>
        <w:autoSpaceDN w:val="0"/>
        <w:adjustRightInd w:val="0"/>
        <w:spacing w:line="360" w:lineRule="auto"/>
        <w:ind w:firstLine="480" w:firstLineChars="200"/>
        <w:rPr>
          <w:kern w:val="0"/>
          <w:sz w:val="24"/>
        </w:rPr>
      </w:pPr>
      <w:r>
        <w:rPr>
          <w:kern w:val="0"/>
          <w:sz w:val="24"/>
        </w:rPr>
        <w:t>9、财务报告</w:t>
      </w:r>
    </w:p>
    <w:p>
      <w:pPr>
        <w:autoSpaceDE w:val="0"/>
        <w:autoSpaceDN w:val="0"/>
        <w:adjustRightInd w:val="0"/>
        <w:spacing w:line="360" w:lineRule="auto"/>
        <w:ind w:firstLine="480" w:firstLineChars="200"/>
        <w:rPr>
          <w:kern w:val="0"/>
          <w:sz w:val="24"/>
        </w:rPr>
      </w:pPr>
      <w:r>
        <w:rPr>
          <w:kern w:val="0"/>
          <w:sz w:val="24"/>
        </w:rPr>
        <w:t>公司财务部门直接负责编制公司财务报告，按照国家会计法律法规和公司相关会计制度、会计政策的规定完成工作，确保公司财务报告真实、准确、完整。</w:t>
      </w:r>
    </w:p>
    <w:p>
      <w:pPr>
        <w:autoSpaceDE w:val="0"/>
        <w:autoSpaceDN w:val="0"/>
        <w:adjustRightInd w:val="0"/>
        <w:spacing w:line="360" w:lineRule="auto"/>
        <w:ind w:firstLine="482" w:firstLineChars="200"/>
        <w:rPr>
          <w:b/>
          <w:kern w:val="0"/>
          <w:sz w:val="24"/>
        </w:rPr>
      </w:pPr>
      <w:r>
        <w:rPr>
          <w:rFonts w:hint="eastAsia"/>
          <w:b/>
          <w:kern w:val="0"/>
          <w:sz w:val="24"/>
        </w:rPr>
        <w:t>（二）内部控制评价工作依据及内部控制缺陷认定标准</w:t>
      </w:r>
    </w:p>
    <w:p>
      <w:pPr>
        <w:autoSpaceDE w:val="0"/>
        <w:autoSpaceDN w:val="0"/>
        <w:adjustRightInd w:val="0"/>
        <w:spacing w:line="360" w:lineRule="auto"/>
        <w:ind w:firstLine="480" w:firstLineChars="200"/>
        <w:rPr>
          <w:kern w:val="0"/>
          <w:sz w:val="24"/>
        </w:rPr>
      </w:pPr>
      <w:r>
        <w:rPr>
          <w:rFonts w:hint="eastAsia"/>
          <w:kern w:val="0"/>
          <w:sz w:val="24"/>
        </w:rPr>
        <w:t>公司董事会根据《企业内部控制基本规范》及《企业内部控制评价指引》等法律、法规和规范性文件对重大缺陷、重要缺陷和一般缺陷的认定要求，结合公司规模、行业特征、风险偏好和风险承受度等因素，研究确定了适用于本公司的内部控制缺陷具体认定标准。</w:t>
      </w:r>
    </w:p>
    <w:p>
      <w:pPr>
        <w:autoSpaceDE w:val="0"/>
        <w:autoSpaceDN w:val="0"/>
        <w:adjustRightInd w:val="0"/>
        <w:spacing w:line="360" w:lineRule="auto"/>
        <w:ind w:firstLine="480" w:firstLineChars="200"/>
        <w:rPr>
          <w:kern w:val="0"/>
          <w:sz w:val="24"/>
        </w:rPr>
      </w:pPr>
      <w:r>
        <w:rPr>
          <w:rFonts w:hint="eastAsia"/>
          <w:kern w:val="0"/>
          <w:sz w:val="24"/>
        </w:rPr>
        <w:t>1、财务报告内部控制缺陷评价标准</w:t>
      </w:r>
    </w:p>
    <w:p>
      <w:pPr>
        <w:autoSpaceDE w:val="0"/>
        <w:autoSpaceDN w:val="0"/>
        <w:adjustRightInd w:val="0"/>
        <w:spacing w:line="360" w:lineRule="auto"/>
        <w:ind w:firstLine="480" w:firstLineChars="200"/>
        <w:rPr>
          <w:kern w:val="0"/>
          <w:sz w:val="24"/>
        </w:rPr>
      </w:pPr>
      <w:r>
        <w:rPr>
          <w:rFonts w:hint="eastAsia"/>
          <w:kern w:val="0"/>
          <w:sz w:val="24"/>
        </w:rPr>
        <w:t>（1）定量标准</w:t>
      </w:r>
    </w:p>
    <w:p>
      <w:pPr>
        <w:autoSpaceDE w:val="0"/>
        <w:autoSpaceDN w:val="0"/>
        <w:adjustRightInd w:val="0"/>
        <w:spacing w:line="360" w:lineRule="auto"/>
        <w:ind w:firstLine="480" w:firstLineChars="200"/>
        <w:rPr>
          <w:kern w:val="0"/>
          <w:sz w:val="24"/>
        </w:rPr>
      </w:pPr>
      <w:r>
        <w:rPr>
          <w:rFonts w:hint="eastAsia"/>
          <w:kern w:val="0"/>
          <w:sz w:val="24"/>
        </w:rPr>
        <w:t>公司层面缺陷认定时，以公司税前利润为基础进行定量判断，重要性水平为公司税前利润的3%，具体缺陷定量指标如下：</w:t>
      </w:r>
    </w:p>
    <w:p>
      <w:pPr>
        <w:autoSpaceDE w:val="0"/>
        <w:autoSpaceDN w:val="0"/>
        <w:adjustRightInd w:val="0"/>
        <w:spacing w:line="360" w:lineRule="auto"/>
        <w:ind w:firstLine="480" w:firstLineChars="200"/>
        <w:rPr>
          <w:kern w:val="0"/>
          <w:sz w:val="24"/>
        </w:rPr>
      </w:pPr>
      <w:r>
        <w:rPr>
          <w:rFonts w:hint="eastAsia"/>
          <w:kern w:val="0"/>
          <w:sz w:val="24"/>
        </w:rPr>
        <w:t>重大缺陷：错报≥税前利润的3%；</w:t>
      </w:r>
    </w:p>
    <w:p>
      <w:pPr>
        <w:autoSpaceDE w:val="0"/>
        <w:autoSpaceDN w:val="0"/>
        <w:adjustRightInd w:val="0"/>
        <w:spacing w:line="360" w:lineRule="auto"/>
        <w:ind w:firstLine="480" w:firstLineChars="200"/>
        <w:rPr>
          <w:kern w:val="0"/>
          <w:sz w:val="24"/>
        </w:rPr>
      </w:pPr>
      <w:r>
        <w:rPr>
          <w:rFonts w:hint="eastAsia"/>
          <w:kern w:val="0"/>
          <w:sz w:val="24"/>
        </w:rPr>
        <w:t>重要缺陷：税前利润的0.3%≤错报&lt;税前利润3% ；</w:t>
      </w:r>
    </w:p>
    <w:p>
      <w:pPr>
        <w:autoSpaceDE w:val="0"/>
        <w:autoSpaceDN w:val="0"/>
        <w:adjustRightInd w:val="0"/>
        <w:spacing w:line="360" w:lineRule="auto"/>
        <w:ind w:firstLine="480" w:firstLineChars="200"/>
        <w:rPr>
          <w:kern w:val="0"/>
          <w:sz w:val="24"/>
        </w:rPr>
      </w:pPr>
      <w:r>
        <w:rPr>
          <w:rFonts w:hint="eastAsia"/>
          <w:kern w:val="0"/>
          <w:sz w:val="24"/>
        </w:rPr>
        <w:t>一般缺陷：错报&lt;税前利润的0.3%。</w:t>
      </w:r>
    </w:p>
    <w:p>
      <w:pPr>
        <w:autoSpaceDE w:val="0"/>
        <w:autoSpaceDN w:val="0"/>
        <w:adjustRightInd w:val="0"/>
        <w:spacing w:line="360" w:lineRule="auto"/>
        <w:ind w:firstLine="480" w:firstLineChars="200"/>
        <w:rPr>
          <w:kern w:val="0"/>
          <w:sz w:val="24"/>
        </w:rPr>
      </w:pPr>
      <w:r>
        <w:rPr>
          <w:rFonts w:hint="eastAsia"/>
          <w:kern w:val="0"/>
          <w:sz w:val="24"/>
        </w:rPr>
        <w:t>（2）定性标准</w:t>
      </w:r>
    </w:p>
    <w:p>
      <w:pPr>
        <w:autoSpaceDE w:val="0"/>
        <w:autoSpaceDN w:val="0"/>
        <w:adjustRightInd w:val="0"/>
        <w:spacing w:line="360" w:lineRule="auto"/>
        <w:ind w:firstLine="480" w:firstLineChars="200"/>
        <w:rPr>
          <w:kern w:val="0"/>
          <w:sz w:val="24"/>
        </w:rPr>
      </w:pPr>
      <w:r>
        <w:rPr>
          <w:rFonts w:hint="eastAsia"/>
          <w:kern w:val="0"/>
          <w:sz w:val="24"/>
        </w:rPr>
        <w:t>出现下列情形的，认定为财务报告内部控制重大缺陷，其他情形按影响程度分别确定为重要缺陷和一般缺陷：</w:t>
      </w:r>
    </w:p>
    <w:p>
      <w:pPr>
        <w:autoSpaceDE w:val="0"/>
        <w:autoSpaceDN w:val="0"/>
        <w:adjustRightInd w:val="0"/>
        <w:spacing w:line="360" w:lineRule="auto"/>
        <w:ind w:firstLine="480" w:firstLineChars="200"/>
        <w:rPr>
          <w:kern w:val="0"/>
          <w:sz w:val="24"/>
        </w:rPr>
      </w:pPr>
      <w:r>
        <w:rPr>
          <w:rFonts w:hint="eastAsia"/>
          <w:kern w:val="0"/>
          <w:sz w:val="24"/>
        </w:rPr>
        <w:t>①董事、监事、高级管理人员的舞弊行为；</w:t>
      </w:r>
    </w:p>
    <w:p>
      <w:pPr>
        <w:autoSpaceDE w:val="0"/>
        <w:autoSpaceDN w:val="0"/>
        <w:adjustRightInd w:val="0"/>
        <w:spacing w:line="360" w:lineRule="auto"/>
        <w:ind w:firstLine="480" w:firstLineChars="200"/>
        <w:rPr>
          <w:kern w:val="0"/>
          <w:sz w:val="24"/>
        </w:rPr>
      </w:pPr>
      <w:r>
        <w:rPr>
          <w:rFonts w:hint="eastAsia"/>
          <w:kern w:val="0"/>
          <w:sz w:val="24"/>
        </w:rPr>
        <w:t>②对已经申报的财务报告出现重大差错而进行的差错更正；</w:t>
      </w:r>
    </w:p>
    <w:p>
      <w:pPr>
        <w:autoSpaceDE w:val="0"/>
        <w:autoSpaceDN w:val="0"/>
        <w:adjustRightInd w:val="0"/>
        <w:spacing w:line="360" w:lineRule="auto"/>
        <w:ind w:firstLine="480" w:firstLineChars="200"/>
        <w:rPr>
          <w:kern w:val="0"/>
          <w:sz w:val="24"/>
        </w:rPr>
      </w:pPr>
      <w:r>
        <w:rPr>
          <w:rFonts w:hint="eastAsia"/>
          <w:kern w:val="0"/>
          <w:sz w:val="24"/>
        </w:rPr>
        <w:t>③对当期财务报告存在重大差错，内部控制运行过程中未发现；</w:t>
      </w:r>
    </w:p>
    <w:p>
      <w:pPr>
        <w:autoSpaceDE w:val="0"/>
        <w:autoSpaceDN w:val="0"/>
        <w:adjustRightInd w:val="0"/>
        <w:spacing w:line="360" w:lineRule="auto"/>
        <w:ind w:firstLine="480" w:firstLineChars="200"/>
        <w:rPr>
          <w:kern w:val="0"/>
          <w:sz w:val="24"/>
        </w:rPr>
      </w:pPr>
      <w:r>
        <w:rPr>
          <w:rFonts w:hint="eastAsia"/>
          <w:kern w:val="0"/>
          <w:sz w:val="24"/>
        </w:rPr>
        <w:t>④公司审计委员会和审计部门对财务报告内部控制监督无效。</w:t>
      </w:r>
    </w:p>
    <w:p>
      <w:pPr>
        <w:autoSpaceDE w:val="0"/>
        <w:autoSpaceDN w:val="0"/>
        <w:adjustRightInd w:val="0"/>
        <w:spacing w:line="360" w:lineRule="auto"/>
        <w:ind w:firstLine="480" w:firstLineChars="200"/>
        <w:rPr>
          <w:kern w:val="0"/>
          <w:sz w:val="24"/>
        </w:rPr>
      </w:pPr>
      <w:r>
        <w:rPr>
          <w:rFonts w:hint="eastAsia"/>
          <w:kern w:val="0"/>
          <w:sz w:val="24"/>
        </w:rPr>
        <w:t>2、非财务报告内部控制缺陷标准出现下列情形的，认定为财务报告内部控制重大缺陷，其他情形按影响程度分别确定为重要缺陷和一般缺陷：</w:t>
      </w:r>
    </w:p>
    <w:p>
      <w:pPr>
        <w:autoSpaceDE w:val="0"/>
        <w:autoSpaceDN w:val="0"/>
        <w:adjustRightInd w:val="0"/>
        <w:spacing w:line="360" w:lineRule="auto"/>
        <w:ind w:firstLine="480" w:firstLineChars="200"/>
        <w:rPr>
          <w:kern w:val="0"/>
          <w:sz w:val="24"/>
        </w:rPr>
      </w:pPr>
      <w:r>
        <w:rPr>
          <w:rFonts w:hint="eastAsia"/>
          <w:kern w:val="0"/>
          <w:sz w:val="24"/>
        </w:rPr>
        <w:t>①公司经营活动违反国家法律、法规；</w:t>
      </w:r>
    </w:p>
    <w:p>
      <w:pPr>
        <w:autoSpaceDE w:val="0"/>
        <w:autoSpaceDN w:val="0"/>
        <w:adjustRightInd w:val="0"/>
        <w:spacing w:line="360" w:lineRule="auto"/>
        <w:ind w:firstLine="480" w:firstLineChars="200"/>
        <w:rPr>
          <w:kern w:val="0"/>
          <w:sz w:val="24"/>
        </w:rPr>
      </w:pPr>
      <w:r>
        <w:rPr>
          <w:rFonts w:hint="eastAsia"/>
          <w:kern w:val="0"/>
          <w:sz w:val="24"/>
        </w:rPr>
        <w:t>②内部控制评价结果，特别是重大或重要缺陷未得到整改；</w:t>
      </w:r>
    </w:p>
    <w:p>
      <w:pPr>
        <w:autoSpaceDE w:val="0"/>
        <w:autoSpaceDN w:val="0"/>
        <w:adjustRightInd w:val="0"/>
        <w:spacing w:line="360" w:lineRule="auto"/>
        <w:ind w:firstLine="480" w:firstLineChars="200"/>
        <w:rPr>
          <w:kern w:val="0"/>
          <w:sz w:val="24"/>
        </w:rPr>
      </w:pPr>
      <w:r>
        <w:rPr>
          <w:rFonts w:hint="eastAsia"/>
          <w:kern w:val="0"/>
          <w:sz w:val="24"/>
        </w:rPr>
        <w:t>③高级管理人员和核心技术人员严重流失；</w:t>
      </w:r>
    </w:p>
    <w:p>
      <w:pPr>
        <w:autoSpaceDE w:val="0"/>
        <w:autoSpaceDN w:val="0"/>
        <w:adjustRightInd w:val="0"/>
        <w:spacing w:line="360" w:lineRule="auto"/>
        <w:ind w:firstLine="480" w:firstLineChars="200"/>
        <w:rPr>
          <w:kern w:val="0"/>
          <w:sz w:val="24"/>
        </w:rPr>
      </w:pPr>
      <w:r>
        <w:rPr>
          <w:rFonts w:hint="eastAsia"/>
          <w:kern w:val="0"/>
          <w:sz w:val="24"/>
        </w:rPr>
        <w:t>④媒体频频曝光重大负面新闻，严重损害声誉。</w:t>
      </w:r>
    </w:p>
    <w:p>
      <w:pPr>
        <w:autoSpaceDE w:val="0"/>
        <w:autoSpaceDN w:val="0"/>
        <w:adjustRightInd w:val="0"/>
        <w:spacing w:line="360" w:lineRule="auto"/>
        <w:ind w:firstLine="482" w:firstLineChars="200"/>
        <w:rPr>
          <w:b/>
          <w:bCs/>
          <w:kern w:val="0"/>
          <w:sz w:val="24"/>
        </w:rPr>
      </w:pPr>
      <w:r>
        <w:rPr>
          <w:rFonts w:hint="eastAsia"/>
          <w:b/>
          <w:bCs/>
          <w:kern w:val="0"/>
          <w:sz w:val="24"/>
        </w:rPr>
        <w:t>（三）内部控制缺陷认定及整改情况</w:t>
      </w:r>
    </w:p>
    <w:p>
      <w:pPr>
        <w:autoSpaceDE w:val="0"/>
        <w:autoSpaceDN w:val="0"/>
        <w:adjustRightInd w:val="0"/>
        <w:spacing w:line="360" w:lineRule="auto"/>
        <w:ind w:firstLine="480" w:firstLineChars="200"/>
        <w:rPr>
          <w:kern w:val="0"/>
          <w:sz w:val="24"/>
        </w:rPr>
      </w:pPr>
      <w:r>
        <w:rPr>
          <w:rFonts w:hint="eastAsia"/>
          <w:kern w:val="0"/>
          <w:sz w:val="24"/>
        </w:rPr>
        <w:t>1、财务报告内部控制缺陷认定及整改情况</w:t>
      </w:r>
    </w:p>
    <w:p>
      <w:pPr>
        <w:autoSpaceDE w:val="0"/>
        <w:autoSpaceDN w:val="0"/>
        <w:adjustRightInd w:val="0"/>
        <w:spacing w:line="360" w:lineRule="auto"/>
        <w:ind w:firstLine="480" w:firstLineChars="200"/>
        <w:rPr>
          <w:kern w:val="0"/>
          <w:sz w:val="24"/>
        </w:rPr>
      </w:pPr>
      <w:r>
        <w:rPr>
          <w:rFonts w:hint="eastAsia"/>
          <w:kern w:val="0"/>
          <w:sz w:val="24"/>
        </w:rPr>
        <w:t>根据上述财务报告内部控制权限的认定标准，报告期内公司不存在财务报告内部控制重大缺陷、重要缺陷。</w:t>
      </w:r>
    </w:p>
    <w:p>
      <w:pPr>
        <w:autoSpaceDE w:val="0"/>
        <w:autoSpaceDN w:val="0"/>
        <w:adjustRightInd w:val="0"/>
        <w:spacing w:line="360" w:lineRule="auto"/>
        <w:ind w:firstLine="480" w:firstLineChars="200"/>
        <w:rPr>
          <w:kern w:val="0"/>
          <w:sz w:val="24"/>
        </w:rPr>
      </w:pPr>
      <w:r>
        <w:rPr>
          <w:rFonts w:hint="eastAsia"/>
          <w:kern w:val="0"/>
          <w:sz w:val="24"/>
        </w:rPr>
        <w:t>2、非财务报告内部控制缺陷认定及整改情况</w:t>
      </w:r>
    </w:p>
    <w:p>
      <w:pPr>
        <w:autoSpaceDE w:val="0"/>
        <w:autoSpaceDN w:val="0"/>
        <w:adjustRightInd w:val="0"/>
        <w:spacing w:line="360" w:lineRule="auto"/>
        <w:ind w:firstLine="480" w:firstLineChars="200"/>
        <w:rPr>
          <w:kern w:val="0"/>
          <w:sz w:val="24"/>
        </w:rPr>
      </w:pPr>
      <w:r>
        <w:rPr>
          <w:rFonts w:hint="eastAsia"/>
          <w:kern w:val="0"/>
          <w:sz w:val="24"/>
        </w:rPr>
        <w:t>根据上述非财务报告内部控制缺陷的认定标准，报告期内公司不存在非财务报告内部控制重大缺陷、重要缺陷。</w:t>
      </w:r>
    </w:p>
    <w:p>
      <w:pPr>
        <w:autoSpaceDE w:val="0"/>
        <w:autoSpaceDN w:val="0"/>
        <w:adjustRightInd w:val="0"/>
        <w:spacing w:line="360" w:lineRule="auto"/>
        <w:ind w:firstLine="482" w:firstLineChars="200"/>
        <w:rPr>
          <w:b/>
          <w:kern w:val="0"/>
          <w:sz w:val="24"/>
        </w:rPr>
      </w:pPr>
      <w:r>
        <w:rPr>
          <w:rFonts w:hint="eastAsia"/>
          <w:b/>
          <w:kern w:val="0"/>
          <w:sz w:val="24"/>
        </w:rPr>
        <w:t>四、内部控制评价结论</w:t>
      </w:r>
    </w:p>
    <w:p>
      <w:pPr>
        <w:autoSpaceDE w:val="0"/>
        <w:autoSpaceDN w:val="0"/>
        <w:adjustRightInd w:val="0"/>
        <w:spacing w:line="360" w:lineRule="auto"/>
        <w:ind w:firstLine="480" w:firstLineChars="200"/>
        <w:rPr>
          <w:kern w:val="0"/>
          <w:sz w:val="24"/>
        </w:rPr>
      </w:pPr>
      <w:r>
        <w:rPr>
          <w:rFonts w:hint="eastAsia"/>
          <w:kern w:val="0"/>
          <w:sz w:val="24"/>
        </w:rPr>
        <w:t>根据公司财务报告内部控制重大缺陷的认定情况，于内部控制评价报告基准日，未发现财务报告内部控制重大缺陷，董事会认为，公司已按照企业内部控制规范体系和相关规定的要求在所有重大方面保持了有效的财务报告内部控制。</w:t>
      </w:r>
    </w:p>
    <w:p>
      <w:pPr>
        <w:autoSpaceDE w:val="0"/>
        <w:autoSpaceDN w:val="0"/>
        <w:adjustRightInd w:val="0"/>
        <w:spacing w:line="360" w:lineRule="auto"/>
        <w:ind w:firstLine="480" w:firstLineChars="200"/>
        <w:rPr>
          <w:kern w:val="0"/>
          <w:sz w:val="24"/>
        </w:rPr>
      </w:pPr>
      <w:r>
        <w:rPr>
          <w:rFonts w:hint="eastAsia"/>
          <w:kern w:val="0"/>
          <w:sz w:val="24"/>
        </w:rPr>
        <w:t>根据公司非财务报告内部控制重大缺陷认定情况，于内部控制评价报告基准日，公司未发现非财务报告内部控制重大缺陷。</w:t>
      </w:r>
    </w:p>
    <w:p>
      <w:pPr>
        <w:autoSpaceDE w:val="0"/>
        <w:autoSpaceDN w:val="0"/>
        <w:adjustRightInd w:val="0"/>
        <w:spacing w:line="360" w:lineRule="auto"/>
        <w:ind w:firstLine="480" w:firstLineChars="200"/>
        <w:rPr>
          <w:kern w:val="0"/>
          <w:sz w:val="24"/>
        </w:rPr>
      </w:pPr>
      <w:r>
        <w:rPr>
          <w:rFonts w:hint="eastAsia"/>
          <w:kern w:val="0"/>
          <w:sz w:val="24"/>
        </w:rPr>
        <w:t>自内部控制评价报告基准日至内部控制评价报告发出日之间未发生影响内部控制有效性评价结论的因素。</w:t>
      </w:r>
    </w:p>
    <w:p>
      <w:pPr>
        <w:autoSpaceDE w:val="0"/>
        <w:autoSpaceDN w:val="0"/>
        <w:adjustRightInd w:val="0"/>
        <w:spacing w:line="360" w:lineRule="auto"/>
        <w:ind w:firstLine="482" w:firstLineChars="200"/>
        <w:rPr>
          <w:b/>
          <w:bCs/>
          <w:kern w:val="0"/>
          <w:sz w:val="24"/>
        </w:rPr>
      </w:pPr>
      <w:r>
        <w:rPr>
          <w:rFonts w:hint="eastAsia"/>
          <w:b/>
          <w:bCs/>
          <w:kern w:val="0"/>
          <w:sz w:val="24"/>
        </w:rPr>
        <w:t>五、其他内部控制相关重大事项说明</w:t>
      </w:r>
    </w:p>
    <w:p>
      <w:pPr>
        <w:autoSpaceDE w:val="0"/>
        <w:autoSpaceDN w:val="0"/>
        <w:adjustRightInd w:val="0"/>
        <w:spacing w:line="360" w:lineRule="auto"/>
        <w:ind w:firstLine="480" w:firstLineChars="200"/>
        <w:rPr>
          <w:kern w:val="0"/>
          <w:sz w:val="24"/>
        </w:rPr>
      </w:pPr>
      <w:r>
        <w:rPr>
          <w:rFonts w:hint="eastAsia"/>
          <w:kern w:val="0"/>
          <w:sz w:val="24"/>
        </w:rPr>
        <w:t>报告期内，公司不存在影响内部控制有效性的其他重大事项。</w:t>
      </w:r>
    </w:p>
    <w:p>
      <w:pPr>
        <w:spacing w:line="360" w:lineRule="auto"/>
        <w:rPr>
          <w:sz w:val="24"/>
        </w:rPr>
      </w:pPr>
    </w:p>
    <w:p>
      <w:pPr>
        <w:spacing w:line="360" w:lineRule="auto"/>
        <w:rPr>
          <w:sz w:val="24"/>
        </w:rPr>
      </w:pPr>
    </w:p>
    <w:p>
      <w:pPr>
        <w:autoSpaceDE w:val="0"/>
        <w:autoSpaceDN w:val="0"/>
        <w:adjustRightInd w:val="0"/>
        <w:spacing w:line="360" w:lineRule="auto"/>
        <w:ind w:right="240" w:firstLine="482" w:firstLineChars="200"/>
        <w:jc w:val="right"/>
        <w:rPr>
          <w:b/>
          <w:bCs/>
          <w:kern w:val="0"/>
          <w:sz w:val="24"/>
        </w:rPr>
      </w:pPr>
      <w:r>
        <w:rPr>
          <w:b/>
          <w:bCs/>
          <w:kern w:val="0"/>
          <w:sz w:val="24"/>
        </w:rPr>
        <w:t>江苏海晨物流股份有限公司</w:t>
      </w:r>
    </w:p>
    <w:p>
      <w:pPr>
        <w:autoSpaceDE w:val="0"/>
        <w:autoSpaceDN w:val="0"/>
        <w:adjustRightInd w:val="0"/>
        <w:spacing w:line="360" w:lineRule="auto"/>
        <w:ind w:right="240" w:firstLine="482" w:firstLineChars="200"/>
        <w:jc w:val="right"/>
        <w:rPr>
          <w:b/>
          <w:bCs/>
          <w:kern w:val="0"/>
          <w:sz w:val="24"/>
        </w:rPr>
      </w:pPr>
      <w:r>
        <w:rPr>
          <w:b/>
          <w:bCs/>
          <w:kern w:val="0"/>
          <w:sz w:val="24"/>
        </w:rPr>
        <w:t>董事会</w:t>
      </w:r>
    </w:p>
    <w:p>
      <w:pPr>
        <w:wordWrap w:val="0"/>
        <w:autoSpaceDE w:val="0"/>
        <w:autoSpaceDN w:val="0"/>
        <w:adjustRightInd w:val="0"/>
        <w:spacing w:line="360" w:lineRule="auto"/>
        <w:ind w:right="180" w:firstLine="5542" w:firstLineChars="2300"/>
        <w:jc w:val="right"/>
        <w:rPr>
          <w:b/>
          <w:bCs/>
          <w:sz w:val="24"/>
        </w:rPr>
      </w:pPr>
      <w:r>
        <w:rPr>
          <w:b/>
          <w:bCs/>
          <w:kern w:val="0"/>
          <w:sz w:val="24"/>
        </w:rPr>
        <w:t xml:space="preserve"> </w:t>
      </w:r>
      <w:r>
        <w:rPr>
          <w:rFonts w:hint="eastAsia"/>
          <w:b/>
          <w:bCs/>
          <w:kern w:val="0"/>
          <w:sz w:val="24"/>
        </w:rPr>
        <w:t>2</w:t>
      </w:r>
      <w:r>
        <w:rPr>
          <w:b/>
          <w:bCs/>
          <w:kern w:val="0"/>
          <w:sz w:val="24"/>
        </w:rPr>
        <w:t>02</w:t>
      </w:r>
      <w:r>
        <w:rPr>
          <w:rFonts w:hint="eastAsia"/>
          <w:b/>
          <w:bCs/>
          <w:kern w:val="0"/>
          <w:sz w:val="24"/>
          <w:lang w:val="en-US" w:eastAsia="zh-CN"/>
        </w:rPr>
        <w:t>3</w:t>
      </w:r>
      <w:r>
        <w:rPr>
          <w:rFonts w:hint="eastAsia"/>
          <w:b/>
          <w:bCs/>
          <w:kern w:val="0"/>
          <w:sz w:val="24"/>
        </w:rPr>
        <w:t>年</w:t>
      </w:r>
      <w:r>
        <w:rPr>
          <w:rFonts w:hint="eastAsia"/>
          <w:b/>
          <w:bCs/>
          <w:kern w:val="0"/>
          <w:sz w:val="24"/>
          <w:lang w:val="en-US" w:eastAsia="zh-CN"/>
        </w:rPr>
        <w:t>4</w:t>
      </w:r>
      <w:r>
        <w:rPr>
          <w:rFonts w:hint="eastAsia"/>
          <w:b/>
          <w:bCs/>
          <w:kern w:val="0"/>
          <w:sz w:val="24"/>
        </w:rPr>
        <w:t>月</w:t>
      </w:r>
      <w:r>
        <w:rPr>
          <w:rFonts w:hint="eastAsia"/>
          <w:b/>
          <w:bCs/>
          <w:kern w:val="0"/>
          <w:sz w:val="24"/>
          <w:lang w:val="en-US" w:eastAsia="zh-CN"/>
        </w:rPr>
        <w:t>21</w:t>
      </w:r>
      <w:bookmarkStart w:id="0" w:name="_GoBack"/>
      <w:bookmarkEnd w:id="0"/>
      <w:r>
        <w:rPr>
          <w:rFonts w:hint="eastAsia"/>
          <w:b/>
          <w:bCs/>
          <w:kern w:val="0"/>
          <w:sz w:val="24"/>
        </w:rPr>
        <w:t>日</w:t>
      </w:r>
    </w:p>
    <w:sectPr>
      <w:headerReference r:id="rId3" w:type="default"/>
      <w:footerReference r:id="rId4" w:type="default"/>
      <w:pgSz w:w="11906" w:h="16838"/>
      <w:pgMar w:top="1440" w:right="992"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0"/>
      </w:rPr>
      <w:fldChar w:fldCharType="begin"/>
    </w:r>
    <w:r>
      <w:rPr>
        <w:sz w:val="20"/>
      </w:rPr>
      <w:instrText xml:space="preserve">PAGE   \* MERGEFORMAT</w:instrText>
    </w:r>
    <w:r>
      <w:rPr>
        <w:sz w:val="20"/>
      </w:rPr>
      <w:fldChar w:fldCharType="separate"/>
    </w:r>
    <w:r>
      <w:rPr>
        <w:sz w:val="20"/>
        <w:lang w:val="zh-CN"/>
      </w:rPr>
      <w:t>1</w:t>
    </w:r>
    <w:r>
      <w:rPr>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57530F"/>
    <w:rsid w:val="00170FFF"/>
    <w:rsid w:val="002025C9"/>
    <w:rsid w:val="00216F7F"/>
    <w:rsid w:val="002272D7"/>
    <w:rsid w:val="00281B17"/>
    <w:rsid w:val="002E43CE"/>
    <w:rsid w:val="00324EAC"/>
    <w:rsid w:val="00342057"/>
    <w:rsid w:val="00377309"/>
    <w:rsid w:val="003D0E79"/>
    <w:rsid w:val="003D55E2"/>
    <w:rsid w:val="003F4D5C"/>
    <w:rsid w:val="004210D9"/>
    <w:rsid w:val="00481A36"/>
    <w:rsid w:val="004C018F"/>
    <w:rsid w:val="004C54F1"/>
    <w:rsid w:val="004D2B82"/>
    <w:rsid w:val="00555E99"/>
    <w:rsid w:val="00573285"/>
    <w:rsid w:val="0057530F"/>
    <w:rsid w:val="006203E4"/>
    <w:rsid w:val="00672C63"/>
    <w:rsid w:val="006C3FA8"/>
    <w:rsid w:val="006F330F"/>
    <w:rsid w:val="009504C9"/>
    <w:rsid w:val="009C0D3C"/>
    <w:rsid w:val="009C4453"/>
    <w:rsid w:val="009C6762"/>
    <w:rsid w:val="009E7257"/>
    <w:rsid w:val="00A02C5B"/>
    <w:rsid w:val="00A35AB5"/>
    <w:rsid w:val="00A41029"/>
    <w:rsid w:val="00A709C3"/>
    <w:rsid w:val="00A97433"/>
    <w:rsid w:val="00AD1E9F"/>
    <w:rsid w:val="00AE30A7"/>
    <w:rsid w:val="00AE7F96"/>
    <w:rsid w:val="00B01615"/>
    <w:rsid w:val="00B40BE0"/>
    <w:rsid w:val="00BF3C4D"/>
    <w:rsid w:val="00C61B8F"/>
    <w:rsid w:val="00C75747"/>
    <w:rsid w:val="00E538E8"/>
    <w:rsid w:val="00E83FD5"/>
    <w:rsid w:val="00EA050E"/>
    <w:rsid w:val="00F10ECF"/>
    <w:rsid w:val="00F90D2D"/>
    <w:rsid w:val="00F950CD"/>
    <w:rsid w:val="00FC5C12"/>
    <w:rsid w:val="00FD37E7"/>
    <w:rsid w:val="73A357F6"/>
    <w:rsid w:val="7A18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rPr>
      <w:rFonts w:asciiTheme="minorHAnsi" w:hAnsiTheme="minorHAnsi" w:eastAsiaTheme="minorEastAsia" w:cstheme="minorBidi"/>
      <w:szCs w:val="22"/>
    </w:r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firstLineChars="200"/>
    </w:pPr>
    <w:rPr>
      <w:rFonts w:ascii="Calibri" w:hAnsi="Calibri"/>
      <w:szCs w:val="22"/>
    </w:rPr>
  </w:style>
  <w:style w:type="paragraph" w:customStyle="1" w:styleId="12">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character" w:customStyle="1" w:styleId="13">
    <w:name w:val="批注文字 字符"/>
    <w:basedOn w:val="7"/>
    <w:link w:val="2"/>
    <w:semiHidden/>
    <w:qFormat/>
    <w:uiPriority w:val="99"/>
  </w:style>
  <w:style w:type="character" w:customStyle="1" w:styleId="14">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4575</Words>
  <Characters>4602</Characters>
  <Lines>33</Lines>
  <Paragraphs>9</Paragraphs>
  <TotalTime>150</TotalTime>
  <ScaleCrop>false</ScaleCrop>
  <LinksUpToDate>false</LinksUpToDate>
  <CharactersWithSpaces>4604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2020-02-11T07:18:00Z</dcterms:created>
  <dc:creator>Leanne</dc:creator>
  <cp:lastModifiedBy>Leanne</cp:lastModifiedBy>
  <dcterms:modified xsi:type="dcterms:W3CDTF">2023-04-17T02:55:18Z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99A6BA1C47334E7CA4CEE82DA5198E0E_12</vt:lpwstr>
  </property>
</Properties>
</file>